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120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苏尼特右旗人民检察院</w:t>
      </w:r>
    </w:p>
    <w:p>
      <w:pPr>
        <w:spacing w:line="12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部门预算公开报告</w:t>
      </w: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ind w:firstLine="3200" w:firstLineChars="1000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26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spacing w:line="336" w:lineRule="auto"/>
        <w:ind w:firstLine="2880" w:firstLineChars="900"/>
        <w:rPr>
          <w:rFonts w:hint="eastAsia" w:ascii="楷体_GB2312" w:eastAsia="楷体_GB2312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sz w:val="32"/>
          <w:szCs w:val="32"/>
        </w:rPr>
      </w:pPr>
    </w:p>
    <w:p>
      <w:pPr>
        <w:spacing w:line="336" w:lineRule="auto"/>
        <w:rPr>
          <w:rFonts w:hint="eastAsia" w:ascii="楷体_GB2312" w:eastAsia="楷体_GB2312"/>
          <w:sz w:val="32"/>
          <w:szCs w:val="32"/>
        </w:rPr>
      </w:pPr>
    </w:p>
    <w:p>
      <w:pPr>
        <w:spacing w:line="336" w:lineRule="auto"/>
        <w:ind w:firstLine="2880" w:firstLineChars="90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宋体" w:eastAsia="楷体_GB2312"/>
          <w:b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目  录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宋体" w:eastAsia="楷体_GB2312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第一部分  部门概况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一、部门主要职能、职责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二、机构设置及预算单位构成情况</w:t>
      </w:r>
    </w:p>
    <w:p>
      <w:pPr>
        <w:adjustRightInd w:val="0"/>
        <w:snapToGrid w:val="0"/>
        <w:spacing w:line="560" w:lineRule="exact"/>
        <w:jc w:val="left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 xml:space="preserve">第二部分  </w:t>
      </w:r>
      <w:r>
        <w:rPr>
          <w:rFonts w:hint="eastAsia" w:ascii="楷体_GB2312" w:hAnsi="黑体" w:eastAsia="楷体_GB2312"/>
          <w:b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年部门预算安排情况说明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一、部门预算收支总体情况说明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yellow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二、一般公共预算财政拨款收支情况说明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三、政府性基金预算财政拨款支出情况说明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四、国有资本经营预算支出预算情况说明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五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、财政拨款“三公”经费预算情况说明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六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、项目支出预算情况说明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第三部分  其他公开事项说明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一、机关运行经费安排情况说明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二、政府采购预算情况说明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三、国有资产占有使用情况说明</w:t>
      </w:r>
    </w:p>
    <w:p>
      <w:pPr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四、</w:t>
      </w:r>
      <w:r>
        <w:rPr>
          <w:rFonts w:hint="eastAsia" w:ascii="楷体_GB2312" w:hAnsi="黑体" w:eastAsia="楷体_GB2312"/>
          <w:sz w:val="32"/>
          <w:szCs w:val="32"/>
        </w:rPr>
        <w:t>项目支出情况说明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第四部分  名词解释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第五部分  预算公开联系方式及信息反馈渠道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 xml:space="preserve">第六部分  </w:t>
      </w:r>
      <w:r>
        <w:rPr>
          <w:rFonts w:hint="eastAsia" w:ascii="楷体_GB2312" w:hAnsi="黑体" w:eastAsia="楷体_GB2312"/>
          <w:b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年部门预算公开表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一、收支预算总表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二、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  <w:lang w:eastAsia="zh-CN"/>
        </w:rPr>
        <w:t>收入总表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三、支出预算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  <w:lang w:eastAsia="zh-CN"/>
        </w:rPr>
        <w:t>总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四、财政拨款收支预算总表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五、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  <w:lang w:eastAsia="zh-CN"/>
        </w:rPr>
        <w:t>一般支出预算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六、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  <w:lang w:eastAsia="zh-CN"/>
        </w:rPr>
        <w:t>财政拨款基本支出预算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七、政府性基金预算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  <w:lang w:eastAsia="zh-CN"/>
        </w:rPr>
        <w:t>收支</w:t>
      </w: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highlight w:val="none"/>
        </w:rPr>
        <w:t>八、财政拨款“三公”经费预算表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九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、政府采购表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十、部门预算基本信息表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984" w:right="1587" w:bottom="1417" w:left="1587" w:header="851" w:footer="850" w:gutter="0"/>
          <w:paperSrc/>
          <w:pgNumType w:fmt="upperRoman" w:start="1" w:chapStyle="1"/>
          <w:cols w:space="0" w:num="1"/>
          <w:rtlGutter w:val="0"/>
          <w:docGrid w:type="lines" w:linePitch="312" w:charSpace="0"/>
        </w:sect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十一、</w:t>
      </w:r>
      <w:r>
        <w:rPr>
          <w:rFonts w:hint="eastAsia" w:ascii="楷体_GB2312" w:eastAsia="楷体_GB2312"/>
          <w:sz w:val="32"/>
          <w:szCs w:val="32"/>
          <w:highlight w:val="none"/>
        </w:rPr>
        <w:t>项目支出绩效目标申报</w:t>
      </w:r>
    </w:p>
    <w:p>
      <w:pPr>
        <w:spacing w:line="560" w:lineRule="exact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第一部分  部门概况</w:t>
      </w:r>
    </w:p>
    <w:p>
      <w:pPr>
        <w:snapToGrid w:val="0"/>
        <w:spacing w:line="56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一、主要职能</w:t>
      </w:r>
    </w:p>
    <w:p>
      <w:pPr>
        <w:snapToGrid w:val="0"/>
        <w:spacing w:line="560" w:lineRule="exact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（一）部门职能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苏尼特右旗</w:t>
      </w:r>
      <w:r>
        <w:rPr>
          <w:rFonts w:hint="eastAsia" w:eastAsia="仿宋_GB2312"/>
          <w:sz w:val="32"/>
          <w:szCs w:val="32"/>
          <w:lang w:eastAsia="zh-CN"/>
        </w:rPr>
        <w:t>人民检察院</w:t>
      </w:r>
      <w:r>
        <w:rPr>
          <w:rFonts w:hint="eastAsia" w:eastAsia="仿宋_GB2312"/>
          <w:sz w:val="32"/>
          <w:szCs w:val="32"/>
        </w:rPr>
        <w:t>是</w:t>
      </w:r>
      <w:r>
        <w:rPr>
          <w:rFonts w:hint="eastAsia" w:eastAsia="仿宋_GB2312"/>
          <w:sz w:val="32"/>
          <w:szCs w:val="32"/>
          <w:lang w:eastAsia="zh-CN"/>
        </w:rPr>
        <w:t>国家的法律监督机关，主要任务是依法履行监督职责，保证国家法律的统一和正确实施</w:t>
      </w:r>
      <w:r>
        <w:rPr>
          <w:rFonts w:hint="eastAsia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（二）部门主要职责</w:t>
      </w:r>
    </w:p>
    <w:p>
      <w:pPr>
        <w:snapToGrid w:val="0"/>
        <w:spacing w:line="560" w:lineRule="exact"/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苏尼特右旗人民检察院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是国家的法律监督机关，依法行使下列职权：1.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依照法律规定对有关刑事案件行使侦查权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；2.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对刑事案件进行审查，批准或者决定是否逮捕犯罪嫌疑人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；3.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对刑事案件进行审查，决定是否提起公诉，对决定提起公诉的案件支持公诉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；4.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依照法律规定提起公益诉讼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；5.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对诉讼活动实行法律监督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；6.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对判决、裁定等生效法律文书的执行工作实行法律监督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；7.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对监狱、看守所的执法工作实行法律监督；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法律规定的其他职权。</w:t>
      </w:r>
    </w:p>
    <w:p>
      <w:pPr>
        <w:snapToGrid w:val="0"/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二、机构设置及预算单位构成情况</w:t>
      </w:r>
    </w:p>
    <w:p>
      <w:pPr>
        <w:snapToGrid w:val="0"/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从预算单位构成看，</w:t>
      </w:r>
      <w:r>
        <w:rPr>
          <w:rFonts w:hint="eastAsia" w:eastAsia="仿宋_GB2312"/>
          <w:sz w:val="32"/>
          <w:szCs w:val="32"/>
          <w:lang w:eastAsia="zh-CN"/>
        </w:rPr>
        <w:t>苏尼特右旗人民检察院</w:t>
      </w:r>
      <w:r>
        <w:rPr>
          <w:rFonts w:hint="eastAsia" w:eastAsia="仿宋_GB2312"/>
          <w:sz w:val="32"/>
          <w:szCs w:val="32"/>
        </w:rPr>
        <w:t>部门预算包括：本级预算。</w:t>
      </w:r>
    </w:p>
    <w:p>
      <w:pPr>
        <w:snapToGrid w:val="0"/>
        <w:spacing w:line="560" w:lineRule="exact"/>
        <w:ind w:firstLine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eastAsia="zh-CN"/>
        </w:rPr>
        <w:t>苏尼特右旗人民检察院</w:t>
      </w:r>
      <w:r>
        <w:rPr>
          <w:rFonts w:hint="eastAsia" w:ascii="楷体_GB2312" w:eastAsia="楷体_GB2312"/>
          <w:sz w:val="32"/>
          <w:szCs w:val="32"/>
        </w:rPr>
        <w:t>部门机构及人员基本情况</w:t>
      </w:r>
    </w:p>
    <w:p>
      <w:p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苏尼特右旗人民检察院政法专项编制为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/>
          <w:bCs/>
          <w:sz w:val="32"/>
          <w:szCs w:val="32"/>
        </w:rPr>
        <w:t>人，工勤编制为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32"/>
          <w:szCs w:val="32"/>
        </w:rPr>
        <w:t>人，现有干警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/>
          <w:bCs/>
          <w:sz w:val="32"/>
          <w:szCs w:val="32"/>
        </w:rPr>
        <w:t>人。内部机构改革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/>
          <w:bCs/>
          <w:sz w:val="32"/>
          <w:szCs w:val="32"/>
        </w:rPr>
        <w:t>，目前内设办公室、政治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第一检察部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第二检察部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第三检察部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司法警察大队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bCs/>
          <w:sz w:val="32"/>
          <w:szCs w:val="32"/>
        </w:rPr>
        <w:t>个职能科室，党组下设中心组、党支部，工、青、妇组织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  <w:lang w:eastAsia="zh-CN"/>
        </w:rPr>
        <w:t>所</w:t>
      </w:r>
      <w:r>
        <w:rPr>
          <w:rFonts w:hint="eastAsia" w:ascii="楷体_GB2312" w:eastAsia="楷体_GB2312"/>
          <w:sz w:val="32"/>
          <w:szCs w:val="32"/>
        </w:rPr>
        <w:t>属单位设置及人员情况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纳入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年部门预算编制范围的二级预算单位情况：</w:t>
      </w:r>
      <w:r>
        <w:rPr>
          <w:rFonts w:hint="eastAsia" w:ascii="仿宋_GB2312" w:eastAsia="仿宋_GB2312"/>
          <w:sz w:val="32"/>
          <w:szCs w:val="32"/>
          <w:lang w:eastAsia="zh-CN"/>
        </w:rPr>
        <w:t>我院无二级预算单位。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3" w:firstLineChars="2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单位情况表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                    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80"/>
        <w:gridCol w:w="3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苏尼特右旗人民检察院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财政拨款的行政单位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第二部分   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5</w:t>
      </w:r>
      <w:r>
        <w:rPr>
          <w:rFonts w:hint="eastAsia" w:ascii="楷体_GB2312" w:eastAsia="楷体_GB2312"/>
          <w:b/>
          <w:sz w:val="36"/>
          <w:szCs w:val="36"/>
        </w:rPr>
        <w:t>年部门预算安排情况说明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一、部门预算收支总体情况说明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1030.06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减少39.17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3.66</w:t>
      </w:r>
      <w:r>
        <w:rPr>
          <w:rFonts w:hint="eastAsia" w:ascii="仿宋_GB2312" w:eastAsia="仿宋_GB2312"/>
          <w:sz w:val="32"/>
          <w:szCs w:val="32"/>
        </w:rPr>
        <w:t>%，主要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：根据人员经费实际支出情况进行适当调整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color w:val="auto"/>
          <w:sz w:val="32"/>
          <w:szCs w:val="32"/>
        </w:rPr>
        <w:t>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1030.06</w:t>
      </w:r>
      <w:r>
        <w:rPr>
          <w:rFonts w:hint="eastAsia" w:ascii="仿宋_GB2312" w:eastAsia="仿宋_GB2312"/>
          <w:color w:val="auto"/>
          <w:sz w:val="32"/>
          <w:szCs w:val="32"/>
        </w:rPr>
        <w:t>万元，比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减少39.17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3.66</w:t>
      </w:r>
      <w:r>
        <w:rPr>
          <w:rFonts w:hint="eastAsia" w:ascii="仿宋_GB2312" w:eastAsia="仿宋_GB2312"/>
          <w:color w:val="auto"/>
          <w:sz w:val="32"/>
          <w:szCs w:val="32"/>
        </w:rPr>
        <w:t>%，主要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原因：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根据人员经费实际支出情况进行适当调整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（一）部门预算收入情况说明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部门预算收入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1030.06</w:t>
      </w:r>
      <w:r>
        <w:rPr>
          <w:rFonts w:hint="eastAsia" w:ascii="仿宋_GB2312" w:eastAsia="仿宋_GB2312"/>
          <w:sz w:val="32"/>
          <w:szCs w:val="32"/>
        </w:rPr>
        <w:t>万元，其中：一般公共预算拨款收入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1029.73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99.97</w:t>
      </w:r>
      <w:r>
        <w:rPr>
          <w:rFonts w:hint="eastAsia" w:ascii="仿宋_GB2312" w:eastAsia="仿宋_GB2312"/>
          <w:sz w:val="32"/>
          <w:szCs w:val="32"/>
        </w:rPr>
        <w:t>%；政府性基金预算拨款收入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%；事业收入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%；事业单位经营收入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%；，其他收入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%；上年结转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0.33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sz w:val="32"/>
          <w:szCs w:val="32"/>
        </w:rPr>
        <w:t>%，用事业基金弥补的收支差额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（二）部门预算支出情况说明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部门预算支出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1030.06</w:t>
      </w:r>
      <w:r>
        <w:rPr>
          <w:rFonts w:hint="eastAsia" w:ascii="仿宋_GB2312" w:eastAsia="仿宋_GB2312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775.73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75.31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254.33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24.69</w:t>
      </w:r>
      <w:r>
        <w:rPr>
          <w:rFonts w:hint="eastAsia" w:ascii="仿宋_GB2312" w:eastAsia="仿宋_GB2312"/>
          <w:sz w:val="32"/>
          <w:szCs w:val="32"/>
        </w:rPr>
        <w:t>%；事业单位经营支出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主要用于</w:t>
      </w:r>
      <w:r>
        <w:rPr>
          <w:rFonts w:hint="eastAsia" w:ascii="仿宋_GB2312" w:eastAsia="仿宋_GB2312"/>
          <w:sz w:val="32"/>
          <w:szCs w:val="32"/>
          <w:lang w:eastAsia="zh-CN"/>
        </w:rPr>
        <w:t>人员支出、</w:t>
      </w:r>
      <w:r>
        <w:rPr>
          <w:rFonts w:hint="eastAsia" w:ascii="仿宋_GB2312" w:eastAsia="仿宋_GB2312"/>
          <w:sz w:val="32"/>
          <w:szCs w:val="32"/>
        </w:rPr>
        <w:t>机构运转、</w:t>
      </w:r>
      <w:r>
        <w:rPr>
          <w:rFonts w:hint="eastAsia" w:ascii="仿宋_GB2312" w:eastAsia="仿宋_GB2312"/>
          <w:sz w:val="32"/>
          <w:szCs w:val="32"/>
          <w:lang w:eastAsia="zh-CN"/>
        </w:rPr>
        <w:t>业务办案</w:t>
      </w:r>
      <w:r>
        <w:rPr>
          <w:rFonts w:hint="eastAsia" w:ascii="仿宋_GB2312" w:eastAsia="仿宋_GB2312"/>
          <w:sz w:val="32"/>
          <w:szCs w:val="32"/>
        </w:rPr>
        <w:t>方面支出。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二、一般公共预算财政拨款收支情况说明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2"/>
          <w:szCs w:val="32"/>
        </w:rPr>
        <w:t>（一）财政拨款规模情况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财政拨款收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支</w:t>
      </w:r>
      <w:r>
        <w:rPr>
          <w:rFonts w:hint="eastAsia" w:ascii="仿宋_GB2312" w:eastAsia="仿宋_GB2312"/>
          <w:sz w:val="32"/>
          <w:szCs w:val="32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1030.06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与上年相比，财政拨款收、支总计各减少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39.17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下降3.66</w:t>
      </w:r>
      <w:r>
        <w:rPr>
          <w:rFonts w:hint="eastAsia" w:ascii="仿宋_GB2312" w:eastAsia="仿宋_GB2312"/>
          <w:sz w:val="32"/>
          <w:szCs w:val="32"/>
          <w:lang w:eastAsia="zh-CN"/>
        </w:rPr>
        <w:t>%。主要原因是根据人员经费实际支出情况进行适当调整。</w:t>
      </w:r>
      <w:r>
        <w:rPr>
          <w:rFonts w:hint="eastAsia" w:ascii="仿宋_GB2312" w:eastAsia="仿宋_GB2312"/>
          <w:sz w:val="32"/>
          <w:szCs w:val="32"/>
        </w:rPr>
        <w:t>包括：一般公共预算财政拨款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1029.73</w:t>
      </w:r>
      <w:r>
        <w:rPr>
          <w:rFonts w:hint="eastAsia" w:ascii="仿宋_GB2312" w:eastAsia="仿宋_GB2312"/>
          <w:sz w:val="32"/>
          <w:szCs w:val="32"/>
        </w:rPr>
        <w:t>万元，政府性基金预算财政拨款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万元，上年结转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一般公共</w:t>
      </w:r>
      <w:r>
        <w:rPr>
          <w:rFonts w:hint="eastAsia" w:ascii="楷体_GB2312" w:eastAsia="楷体_GB2312"/>
          <w:sz w:val="32"/>
          <w:szCs w:val="32"/>
        </w:rPr>
        <w:t>预算财政拨款具体使用安排情况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公共安全支出（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类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年初预算866.28万</w:t>
      </w:r>
      <w:r>
        <w:rPr>
          <w:rFonts w:hint="eastAsia" w:ascii="仿宋_GB2312" w:eastAsia="仿宋_GB2312"/>
          <w:sz w:val="32"/>
          <w:szCs w:val="32"/>
        </w:rPr>
        <w:t>元，与上年相比减少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34.55</w:t>
      </w:r>
      <w:r>
        <w:rPr>
          <w:rFonts w:hint="eastAsia" w:ascii="仿宋_GB2312" w:eastAsia="仿宋_GB2312"/>
          <w:sz w:val="32"/>
          <w:szCs w:val="32"/>
        </w:rPr>
        <w:t>万元。其中：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（1）检察（款）行政运行（项），年初预算611.95万元，与上年相比减少22.75万元，下降3.58%，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主要原因是根据人员经费实际支出情况进行适当调整。主要用于干警工资、社保和一般公用经费支出等。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2）检察（款）一般行政管理事务（项），年初预算244.33万元，与上年相比减少20万元，下降7.57%，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项目经费进行一定压缩</w:t>
      </w:r>
      <w:r>
        <w:rPr>
          <w:rFonts w:hint="eastAsia" w:ascii="仿宋_GB2312" w:eastAsia="仿宋_GB2312"/>
          <w:sz w:val="32"/>
          <w:szCs w:val="32"/>
          <w:lang w:eastAsia="zh-CN"/>
        </w:rPr>
        <w:t>。主要用于检察业务项目支出。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3）检察（款）其他检察支出（项），年初预算10万元，与上年相比增加8.2万元，上升455.56%%，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主要原因是本年根据实际情况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增加网络维护费支出</w:t>
      </w:r>
      <w:r>
        <w:rPr>
          <w:rFonts w:hint="eastAsia" w:ascii="仿宋_GB2312" w:eastAsia="仿宋_GB2312"/>
          <w:sz w:val="32"/>
          <w:szCs w:val="32"/>
          <w:lang w:eastAsia="zh-CN"/>
        </w:rPr>
        <w:t>。主要用于检察业务网络运行维护费支出。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b/>
          <w:sz w:val="32"/>
          <w:szCs w:val="32"/>
        </w:rPr>
        <w:t>社会保障和就业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支出（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类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80.13</w:t>
      </w:r>
      <w:r>
        <w:rPr>
          <w:rFonts w:hint="eastAsia" w:ascii="仿宋_GB2312" w:eastAsia="仿宋_GB2312"/>
          <w:sz w:val="32"/>
          <w:szCs w:val="32"/>
          <w:lang w:eastAsia="zh-CN"/>
        </w:rPr>
        <w:t>万元，与上年相比减少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1.39</w:t>
      </w:r>
      <w:r>
        <w:rPr>
          <w:rFonts w:hint="eastAsia" w:ascii="仿宋_GB2312" w:eastAsia="仿宋_GB2312"/>
          <w:sz w:val="32"/>
          <w:szCs w:val="32"/>
          <w:lang w:eastAsia="zh-CN"/>
        </w:rPr>
        <w:t>万元，其中：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sz w:val="32"/>
          <w:szCs w:val="32"/>
          <w:lang w:eastAsia="zh-CN"/>
        </w:rPr>
        <w:t>行政事业单位养老支出（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款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机关事业单位基本养老保险缴费支出（</w:t>
      </w:r>
      <w:r>
        <w:rPr>
          <w:rFonts w:hint="eastAsia" w:eastAsia="仿宋_GB2312"/>
          <w:sz w:val="32"/>
          <w:szCs w:val="32"/>
          <w:lang w:val="en-US" w:eastAsia="zh-CN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），年</w:t>
      </w:r>
      <w:r>
        <w:rPr>
          <w:rFonts w:hint="eastAsia" w:ascii="仿宋_GB2312" w:eastAsia="仿宋_GB2312"/>
          <w:sz w:val="32"/>
          <w:szCs w:val="32"/>
          <w:lang w:eastAsia="zh-CN"/>
        </w:rPr>
        <w:t>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53.42万元，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与上年相比减少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0.93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下降1.71%，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主要原因是根据人员经费实际支出情况进行适当调整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主要用于</w:t>
      </w:r>
      <w:r>
        <w:rPr>
          <w:rFonts w:hint="eastAsia" w:eastAsia="仿宋_GB2312"/>
          <w:sz w:val="32"/>
          <w:szCs w:val="32"/>
          <w:lang w:eastAsia="zh-CN"/>
        </w:rPr>
        <w:t>干警养老保险支出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sz w:val="32"/>
          <w:szCs w:val="32"/>
          <w:lang w:eastAsia="zh-CN"/>
        </w:rPr>
        <w:t>行政事业单位养老支出（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款）</w:t>
      </w:r>
      <w:r>
        <w:rPr>
          <w:rFonts w:hint="eastAsia" w:eastAsia="仿宋_GB2312"/>
          <w:sz w:val="32"/>
          <w:szCs w:val="32"/>
          <w:lang w:eastAsia="zh-CN"/>
        </w:rPr>
        <w:t>机关事业单位职业年金缴费支出（</w:t>
      </w:r>
      <w:r>
        <w:rPr>
          <w:rFonts w:hint="eastAsia" w:eastAsia="仿宋_GB2312"/>
          <w:sz w:val="32"/>
          <w:szCs w:val="32"/>
          <w:lang w:val="en-US" w:eastAsia="zh-CN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），年</w:t>
      </w:r>
      <w:r>
        <w:rPr>
          <w:rFonts w:hint="eastAsia" w:ascii="仿宋_GB2312" w:eastAsia="仿宋_GB2312"/>
          <w:sz w:val="32"/>
          <w:szCs w:val="32"/>
          <w:lang w:eastAsia="zh-CN"/>
        </w:rPr>
        <w:t>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26.71万元，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与上年相比减少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0.46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下降1.69%，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主要原因是根据人员经费实际支出情况进行适当调整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主要用于</w:t>
      </w:r>
      <w:r>
        <w:rPr>
          <w:rFonts w:hint="eastAsia" w:eastAsia="仿宋_GB2312"/>
          <w:sz w:val="32"/>
          <w:szCs w:val="32"/>
          <w:lang w:eastAsia="zh-CN"/>
        </w:rPr>
        <w:t>干警职业年金支出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卫生健康支出（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类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年初预算24.2万元，与</w:t>
      </w:r>
      <w:r>
        <w:rPr>
          <w:rFonts w:hint="eastAsia" w:eastAsia="仿宋_GB2312"/>
          <w:sz w:val="32"/>
          <w:szCs w:val="32"/>
          <w:lang w:eastAsia="zh-CN"/>
        </w:rPr>
        <w:t>上年相比</w:t>
      </w:r>
      <w:r>
        <w:rPr>
          <w:rFonts w:hint="eastAsia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0.46万元，其中：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行政事业单位医疗（款）行政单位医疗（项）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24.2万元，与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上年相比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减少0.46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下降1.87%</w:t>
      </w:r>
      <w:r>
        <w:rPr>
          <w:rFonts w:hint="eastAsia" w:ascii="仿宋_GB2312" w:eastAsia="仿宋_GB2312"/>
          <w:sz w:val="32"/>
          <w:szCs w:val="32"/>
          <w:lang w:eastAsia="zh-CN"/>
        </w:rPr>
        <w:t>，主要原因是根据人员经费实际支出情况进行适当调整。主要用干警医疗保险支出。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FF990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住房保障支出（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类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年初预算59.44万元，与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eastAsia="zh-CN"/>
        </w:rPr>
        <w:t>相比减少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住房改革支出（款）住房公积金（项）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，年初预算59.44万元，与上年相比减少2.77万元。下降4.45%，主要原因是根据人员经费实际支出情况进行适当调整。主要用干警住房公积金。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sz w:val="32"/>
          <w:szCs w:val="32"/>
        </w:rPr>
        <w:t>一般公共预算基本支出预算情况说明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2025年度一般公共预算财政拨款基本支出预算775.73万元，其中：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人员经费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705.67</w:t>
      </w:r>
      <w:r>
        <w:rPr>
          <w:rFonts w:hint="eastAsia" w:ascii="仿宋_GB2312" w:eastAsia="仿宋_GB2312"/>
          <w:b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包括：基本工资146.76万元、津贴补贴286.26万元、奖金36.57万元、机关事业单位基本养老保险缴费53.42万元，职业年金缴费26.71万元，职工基本医疗保险缴费24.2万元，其他社会保障缴费0.66万元，住房公积金59.44万元、其他工资福利支出71.64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公用经费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70.06</w:t>
      </w:r>
      <w:r>
        <w:rPr>
          <w:rFonts w:hint="eastAsia" w:ascii="仿宋_GB2312" w:eastAsia="仿宋_GB2312"/>
          <w:b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主要包括：办公费6.16万元、水费1.94万元、电费4万元、取暖费12.9万元、公务接待费1万元、工会经费8.38万元、福利费11.38万元、其他交通费用24.3万元。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三、政府性基金预算财政拨款支出情况说明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政府性基金财政拨款预算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0万元，与上年相比无变化。我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无政府性基金财政拨款预算。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国有资本经营预算支出</w:t>
      </w:r>
      <w:r>
        <w:rPr>
          <w:rFonts w:hint="eastAsia" w:ascii="黑体" w:hAnsi="黑体" w:eastAsia="黑体"/>
          <w:color w:val="00000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国有资本经营预算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0万元，与上年相比无变化。</w:t>
      </w:r>
      <w:r>
        <w:rPr>
          <w:rFonts w:hint="eastAsia" w:ascii="仿宋_GB2312" w:eastAsia="仿宋_GB2312"/>
          <w:sz w:val="32"/>
          <w:szCs w:val="32"/>
          <w:lang w:eastAsia="zh-CN"/>
        </w:rPr>
        <w:t>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无国有资本经营预算支出。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、财政拨款“三公”经费预算情况说明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财政拨款“三公”经费支出预算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28.97</w:t>
      </w:r>
      <w:r>
        <w:rPr>
          <w:rFonts w:hint="eastAsia" w:ascii="仿宋_GB2312" w:eastAsia="仿宋_GB2312"/>
          <w:sz w:val="32"/>
          <w:szCs w:val="32"/>
        </w:rPr>
        <w:t>万元，比上年预算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减少27.42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下降48.63</w:t>
      </w:r>
      <w:r>
        <w:rPr>
          <w:rFonts w:hint="eastAsia" w:ascii="仿宋_GB2312" w:eastAsia="仿宋_GB2312"/>
          <w:sz w:val="32"/>
          <w:szCs w:val="32"/>
        </w:rPr>
        <w:t>%；本年预算比上年执行数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减少26.31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下降47.59</w:t>
      </w:r>
      <w:r>
        <w:rPr>
          <w:rFonts w:hint="eastAsia" w:ascii="仿宋_GB2312" w:eastAsia="仿宋_GB2312"/>
          <w:sz w:val="32"/>
          <w:szCs w:val="32"/>
        </w:rPr>
        <w:t>%。其中：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因公出国（境）费用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，占“三公”经费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与上年相比无变化，我院无</w:t>
      </w:r>
      <w:r>
        <w:rPr>
          <w:rFonts w:hint="eastAsia" w:ascii="仿宋_GB2312" w:eastAsia="仿宋_GB2312"/>
          <w:sz w:val="32"/>
          <w:szCs w:val="32"/>
        </w:rPr>
        <w:t>因公出国（境）费用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占“三公”经费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3.45%，</w:t>
      </w:r>
      <w:r>
        <w:rPr>
          <w:rFonts w:hint="eastAsia" w:ascii="仿宋_GB2312" w:eastAsia="仿宋_GB2312"/>
          <w:sz w:val="32"/>
          <w:szCs w:val="32"/>
        </w:rPr>
        <w:t>比上年预算数减少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16.67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减少主要原因是进一步压缩公务接待费规模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本年预算比上年执行数增加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上升733.33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，增加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原因</w:t>
      </w:r>
      <w:r>
        <w:rPr>
          <w:rFonts w:hint="eastAsia" w:ascii="仿宋_GB2312" w:eastAsia="仿宋_GB2312"/>
          <w:sz w:val="32"/>
          <w:szCs w:val="32"/>
        </w:rPr>
        <w:t>是由于</w:t>
      </w:r>
      <w:r>
        <w:rPr>
          <w:rFonts w:hint="eastAsia" w:ascii="仿宋_GB2312" w:eastAsia="仿宋_GB2312"/>
          <w:sz w:val="32"/>
          <w:szCs w:val="32"/>
          <w:lang w:eastAsia="zh-CN"/>
        </w:rPr>
        <w:t>实际需求进行调整。</w:t>
      </w:r>
    </w:p>
    <w:p>
      <w:pPr>
        <w:adjustRightInd w:val="0"/>
        <w:snapToGrid w:val="0"/>
        <w:spacing w:line="560" w:lineRule="exact"/>
        <w:ind w:left="160" w:leftChars="76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公务用车购置及运行维护费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27.97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占“三公”经费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96.55%，</w:t>
      </w:r>
      <w:r>
        <w:rPr>
          <w:rFonts w:hint="eastAsia" w:ascii="仿宋_GB2312" w:eastAsia="仿宋_GB2312"/>
          <w:sz w:val="32"/>
          <w:szCs w:val="32"/>
        </w:rPr>
        <w:t>比上年预算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减少27.22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下降49.32</w:t>
      </w:r>
      <w:r>
        <w:rPr>
          <w:rFonts w:hint="eastAsia" w:ascii="仿宋_GB2312" w:eastAsia="仿宋_GB2312"/>
          <w:sz w:val="32"/>
          <w:szCs w:val="32"/>
        </w:rPr>
        <w:t>%，本年预算比上年执行数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减少27.22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下降49.32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left="160" w:leftChars="76" w:firstLine="480" w:firstLineChars="15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）公务用车购置0万元，比上年预算减少27.22万元，下降100 %，本年预算比上年执行数减少27.22万元，下降100 %，主要原因：本年减少执法执勤用车购置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left="160" w:leftChars="76"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）公务用车运行维护费27.97万元，本年预算比上年预算减少0万元，下降0%，比上年执行数增加0万元，上升0 %。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与上年相比无变化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六、项目支出预算情况说明</w:t>
      </w:r>
    </w:p>
    <w:p>
      <w:pPr>
        <w:adjustRightInd w:val="0"/>
        <w:snapToGrid w:val="0"/>
        <w:spacing w:line="560" w:lineRule="exact"/>
        <w:ind w:left="160" w:leftChars="76"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年预算安排项目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个，项目预算总金额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254.33</w:t>
      </w:r>
      <w:r>
        <w:rPr>
          <w:rFonts w:hint="eastAsia" w:ascii="仿宋_GB2312" w:eastAsia="仿宋_GB2312"/>
          <w:sz w:val="32"/>
          <w:szCs w:val="32"/>
        </w:rPr>
        <w:t>万元。其中，财政本年拨款金额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254</w:t>
      </w:r>
      <w:r>
        <w:rPr>
          <w:rFonts w:hint="eastAsia" w:ascii="仿宋_GB2312" w:eastAsia="仿宋_GB2312"/>
          <w:sz w:val="32"/>
          <w:szCs w:val="32"/>
        </w:rPr>
        <w:t>万元，财政拨款结转结余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0.33</w:t>
      </w:r>
      <w:r>
        <w:rPr>
          <w:rFonts w:hint="eastAsia" w:ascii="仿宋_GB2312" w:eastAsia="仿宋_GB2312"/>
          <w:sz w:val="32"/>
          <w:szCs w:val="32"/>
        </w:rPr>
        <w:t>万元，财政专户管理资金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万元，单位资金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公开部门项目支出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2个，公开金额254.33万元。</w:t>
      </w: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6"/>
          <w:szCs w:val="36"/>
        </w:rPr>
        <w:t>第三部分  其他公开事项说明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一、机关运行经费安排情况说明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2025年我院</w:t>
      </w:r>
      <w:r>
        <w:rPr>
          <w:rFonts w:hint="eastAsia" w:ascii="仿宋_GB2312" w:eastAsia="仿宋_GB2312"/>
          <w:sz w:val="32"/>
          <w:szCs w:val="32"/>
        </w:rPr>
        <w:t>机关运行</w:t>
      </w:r>
      <w:r>
        <w:rPr>
          <w:rFonts w:hint="eastAsia" w:ascii="仿宋_GB2312" w:eastAsia="仿宋_GB2312"/>
          <w:color w:val="000000"/>
          <w:sz w:val="32"/>
          <w:szCs w:val="32"/>
        </w:rPr>
        <w:t>经费财政拨款</w:t>
      </w:r>
      <w:r>
        <w:rPr>
          <w:rFonts w:hint="eastAsia"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70.06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包括办公费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6.16万元，水费1.94万元，电费4万元，取暖费12.9万元，公务接待费1万元，工会经费8.38万元，福利费11.38万元，其他交通费用24.3万元。</w:t>
      </w:r>
      <w:r>
        <w:rPr>
          <w:rFonts w:hint="eastAsia" w:ascii="仿宋_GB2312" w:eastAsia="仿宋_GB2312"/>
          <w:color w:val="000000"/>
          <w:sz w:val="32"/>
          <w:szCs w:val="32"/>
        </w:rPr>
        <w:t>比上年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0.13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主要原因是本年工会经费、福利费减少。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二、政府采购预算情况说明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政府采购预算总额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36.7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</w:rPr>
        <w:t>万元，政府采购工程预算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三、国有资产占有使用情况说明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截至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年末，共有车辆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其中：机要应急车辆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辆等，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公务用车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0，执法执勤5辆，特种汽车1辆，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单位价值200万元以上大型设备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台（套）等。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项目支出</w:t>
      </w:r>
      <w:r>
        <w:rPr>
          <w:rFonts w:hint="eastAsia" w:ascii="黑体" w:hAnsi="黑体" w:eastAsia="黑体"/>
          <w:sz w:val="32"/>
          <w:szCs w:val="32"/>
          <w:lang w:eastAsia="zh-CN"/>
        </w:rPr>
        <w:t>绩效</w:t>
      </w:r>
      <w:r>
        <w:rPr>
          <w:rFonts w:hint="eastAsia" w:ascii="黑体" w:hAnsi="黑体" w:eastAsia="黑体"/>
          <w:sz w:val="32"/>
          <w:szCs w:val="32"/>
        </w:rPr>
        <w:t>情况说明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（一）项目支出绩效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</w:rPr>
        <w:t>项目支出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绩效</w:t>
      </w:r>
      <w:r>
        <w:rPr>
          <w:rFonts w:hint="eastAsia" w:ascii="仿宋_GB2312" w:eastAsia="仿宋_GB2312"/>
          <w:sz w:val="32"/>
          <w:szCs w:val="32"/>
          <w:highlight w:val="none"/>
        </w:rPr>
        <w:t>预算绩效目标填报情况</w:t>
      </w:r>
    </w:p>
    <w:p>
      <w:pPr>
        <w:numPr>
          <w:ilvl w:val="0"/>
          <w:numId w:val="0"/>
        </w:num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2025年，填报绩效目标的预算项目2个，预算254.13万元，公开绩效目标2个，公开项目占全部预算项目的100%。公开填报绩效目标的项目支出预算254.13万元，占全部项目支出预算的100%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6"/>
          <w:szCs w:val="36"/>
        </w:rPr>
        <w:t>第四部分  名词解释</w:t>
      </w:r>
    </w:p>
    <w:p>
      <w:pPr>
        <w:snapToGrid w:val="0"/>
        <w:spacing w:line="56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一、一般公共预算财政拨款收入：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是指自治区财政当年拨付的资金。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二、事业收入：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是指事业单位开展专业业务活动及辅助活动所取得的收入。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、基本支出</w:t>
      </w:r>
      <w:r>
        <w:rPr>
          <w:rFonts w:hint="eastAsia" w:ascii="仿宋_GB2312" w:eastAsia="仿宋_GB2312"/>
          <w:sz w:val="32"/>
          <w:szCs w:val="32"/>
        </w:rPr>
        <w:t>：是指为保障机构正常运转，完成日常工作任务而发生的人员支出和共用支出。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、项目支出</w:t>
      </w:r>
      <w:r>
        <w:rPr>
          <w:rFonts w:hint="eastAsia" w:ascii="仿宋_GB2312" w:eastAsia="仿宋_GB2312"/>
          <w:sz w:val="32"/>
          <w:szCs w:val="32"/>
        </w:rPr>
        <w:t>：是指基本支出之外，为完成特定行政任务和事业发展目标所发生的支出。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、“三公”经费</w:t>
      </w:r>
      <w:r>
        <w:rPr>
          <w:rFonts w:hint="eastAsia" w:ascii="仿宋_GB2312" w:eastAsia="仿宋_GB2312"/>
          <w:sz w:val="32"/>
          <w:szCs w:val="32"/>
        </w:rPr>
        <w:t>：纳入财政预决算管理的“三公”经费，是指部门用财政拨款安排的因公出国（境）费、公务用车购置及运行维护费、公务接待费。其中：因公出国（境）费反映单位公务出国（境）的国际旅费、国内城市间交通费、住宿费、伙食费、培训费、公杂费等支出；公务用车购置费反映单位公务员车购置支出（含车辆购置税）；公务用车运行维护费反映单位按规定保留的公务用车燃料费、维修费、保险费、过路过桥费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</w:t>
      </w:r>
      <w:r>
        <w:rPr>
          <w:rFonts w:hint="eastAsia" w:ascii="黑体" w:eastAsia="黑体"/>
          <w:sz w:val="32"/>
          <w:szCs w:val="32"/>
        </w:rPr>
        <w:t>、机关运行经费</w:t>
      </w:r>
      <w:r>
        <w:rPr>
          <w:rFonts w:hint="eastAsia" w:ascii="仿宋_GB2312" w:eastAsia="仿宋_GB2312"/>
          <w:sz w:val="32"/>
          <w:szCs w:val="32"/>
        </w:rPr>
        <w:t>：是指为保障行政单位（含参照公务员法管理的事业单位）运行，用于购买货物和服务等的各项公用经费，包括办公及印刷费、邮电费、差旅费、会议费、福利费、日常维修费、专业材料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、工资福利支出（支出经济分类科目类级）</w:t>
      </w:r>
      <w:r>
        <w:rPr>
          <w:rFonts w:hint="eastAsia" w:ascii="仿宋_GB2312" w:eastAsia="仿宋_GB2312"/>
          <w:sz w:val="32"/>
          <w:szCs w:val="32"/>
        </w:rPr>
        <w:t>：反映单位开支的在职职工和编制外长期聘用人员的各类活动报酬，以及为上述人员缴纳的各项社会保险费等。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、商品和服务支出（支出经济分类科目类级）</w:t>
      </w:r>
      <w:r>
        <w:rPr>
          <w:rFonts w:hint="eastAsia" w:ascii="仿宋_GB2312" w:eastAsia="仿宋_GB2312"/>
          <w:sz w:val="32"/>
          <w:szCs w:val="32"/>
        </w:rPr>
        <w:t>：反映单位购买商品和服务的支出（不包括用于购置固定资产的支出、战略性和应急储备支出）。</w:t>
      </w: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6"/>
          <w:szCs w:val="36"/>
        </w:rPr>
        <w:t>第五部分  预算公开联系方式及信息反馈渠道</w:t>
      </w: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本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（部门）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单位预算公开信息反馈和联系方式：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张耀杰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联系电话：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0479-7220565</w:t>
      </w: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楷体_GB2312" w:hAnsi="黑体" w:eastAsia="楷体_GB2312"/>
          <w:b/>
          <w:color w:val="000000"/>
          <w:sz w:val="36"/>
          <w:szCs w:val="36"/>
        </w:rPr>
      </w:pPr>
      <w:r>
        <w:rPr>
          <w:rFonts w:hint="eastAsia" w:ascii="楷体_GB2312" w:hAnsi="黑体" w:eastAsia="楷体_GB2312"/>
          <w:b/>
          <w:color w:val="000000"/>
          <w:sz w:val="36"/>
          <w:szCs w:val="36"/>
        </w:rPr>
        <w:t>第六部分  部门预算公开表</w:t>
      </w:r>
    </w:p>
    <w:p>
      <w:pPr>
        <w:snapToGrid w:val="0"/>
        <w:spacing w:line="560" w:lineRule="exact"/>
        <w:ind w:firstLine="720" w:firstLineChars="200"/>
        <w:rPr>
          <w:rFonts w:hint="eastAsia" w:ascii="仿宋_GB2312" w:hAnsi="黑体" w:eastAsia="仿宋_GB2312"/>
          <w:color w:val="000000"/>
          <w:sz w:val="36"/>
          <w:szCs w:val="36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详见附表：部门预算公开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张表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984" w:right="1587" w:bottom="1417" w:left="1587" w:header="851" w:footer="850" w:gutter="0"/>
      <w:paperSrc/>
      <w:pgNumType w:start="1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II</w:t>
    </w:r>
    <w:r>
      <w:fldChar w:fldCharType="end"/>
    </w:r>
  </w:p>
  <w:p>
    <w:pPr>
      <w:pStyle w:val="6"/>
      <w:jc w:val="center"/>
      <w:rPr>
        <w:sz w:val="24"/>
        <w:szCs w:val="2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81243"/>
    <w:multiLevelType w:val="multilevel"/>
    <w:tmpl w:val="0E981243"/>
    <w:lvl w:ilvl="0" w:tentative="0">
      <w:start w:val="1"/>
      <w:numFmt w:val="japaneseCounting"/>
      <w:pStyle w:val="17"/>
      <w:lvlText w:val="第%1节"/>
      <w:lvlJc w:val="left"/>
      <w:pPr>
        <w:tabs>
          <w:tab w:val="left" w:pos="1275"/>
        </w:tabs>
        <w:ind w:left="1275" w:hanging="127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522BAE"/>
    <w:multiLevelType w:val="multilevel"/>
    <w:tmpl w:val="41522BAE"/>
    <w:lvl w:ilvl="0" w:tentative="0">
      <w:start w:val="2"/>
      <w:numFmt w:val="japaneseCounting"/>
      <w:pStyle w:val="21"/>
      <w:lvlText w:val="第%1章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mM5ZTEzZDM5NTQ3YTY3OTE4ZGY0YWUzYzQwNTAifQ=="/>
  </w:docVars>
  <w:rsids>
    <w:rsidRoot w:val="00172A27"/>
    <w:rsid w:val="00D67E31"/>
    <w:rsid w:val="031066D8"/>
    <w:rsid w:val="03541093"/>
    <w:rsid w:val="03696241"/>
    <w:rsid w:val="03CA4068"/>
    <w:rsid w:val="040A4CCE"/>
    <w:rsid w:val="04F5469B"/>
    <w:rsid w:val="05740424"/>
    <w:rsid w:val="05A21435"/>
    <w:rsid w:val="05C75E70"/>
    <w:rsid w:val="06456265"/>
    <w:rsid w:val="07EF2282"/>
    <w:rsid w:val="09977C1A"/>
    <w:rsid w:val="09C70A8E"/>
    <w:rsid w:val="0A103E79"/>
    <w:rsid w:val="0A654EDE"/>
    <w:rsid w:val="0A803119"/>
    <w:rsid w:val="0ADE4F8F"/>
    <w:rsid w:val="0B466E7F"/>
    <w:rsid w:val="0BC16A4C"/>
    <w:rsid w:val="0E083E00"/>
    <w:rsid w:val="0EA05576"/>
    <w:rsid w:val="10DB57FB"/>
    <w:rsid w:val="111F615C"/>
    <w:rsid w:val="11525D55"/>
    <w:rsid w:val="11B54EBC"/>
    <w:rsid w:val="11D7539A"/>
    <w:rsid w:val="132A2A6A"/>
    <w:rsid w:val="13D47DCC"/>
    <w:rsid w:val="14CC6DEC"/>
    <w:rsid w:val="14E76E65"/>
    <w:rsid w:val="15A17F64"/>
    <w:rsid w:val="16893F4C"/>
    <w:rsid w:val="16B25250"/>
    <w:rsid w:val="170948DE"/>
    <w:rsid w:val="17854713"/>
    <w:rsid w:val="17CD44CA"/>
    <w:rsid w:val="197243F1"/>
    <w:rsid w:val="1A2C7F43"/>
    <w:rsid w:val="1B530684"/>
    <w:rsid w:val="1C5304C5"/>
    <w:rsid w:val="1C6727F8"/>
    <w:rsid w:val="1CDF4CD3"/>
    <w:rsid w:val="1D882867"/>
    <w:rsid w:val="1F424A92"/>
    <w:rsid w:val="1F4C3FCA"/>
    <w:rsid w:val="1F796AB2"/>
    <w:rsid w:val="20334F59"/>
    <w:rsid w:val="20656189"/>
    <w:rsid w:val="21313216"/>
    <w:rsid w:val="228B30E9"/>
    <w:rsid w:val="237972D7"/>
    <w:rsid w:val="252D2E9D"/>
    <w:rsid w:val="26296BB1"/>
    <w:rsid w:val="267A713F"/>
    <w:rsid w:val="276A5CFD"/>
    <w:rsid w:val="276E2ACE"/>
    <w:rsid w:val="283604AB"/>
    <w:rsid w:val="29AB71F8"/>
    <w:rsid w:val="2ABB0720"/>
    <w:rsid w:val="2B6C1A1A"/>
    <w:rsid w:val="2BB138D1"/>
    <w:rsid w:val="2CD414B1"/>
    <w:rsid w:val="2CDD274B"/>
    <w:rsid w:val="2D8344B8"/>
    <w:rsid w:val="2E235638"/>
    <w:rsid w:val="2E505623"/>
    <w:rsid w:val="2E9F5C62"/>
    <w:rsid w:val="2EE765A8"/>
    <w:rsid w:val="2F5336E4"/>
    <w:rsid w:val="305F45B3"/>
    <w:rsid w:val="31936CA8"/>
    <w:rsid w:val="320F4EAD"/>
    <w:rsid w:val="327C7347"/>
    <w:rsid w:val="33394470"/>
    <w:rsid w:val="348558FB"/>
    <w:rsid w:val="35C52CA9"/>
    <w:rsid w:val="36B0374A"/>
    <w:rsid w:val="37936580"/>
    <w:rsid w:val="37FB65FF"/>
    <w:rsid w:val="380C6DE4"/>
    <w:rsid w:val="389825CE"/>
    <w:rsid w:val="38FB063E"/>
    <w:rsid w:val="397D3044"/>
    <w:rsid w:val="398919E9"/>
    <w:rsid w:val="39E918FB"/>
    <w:rsid w:val="3A3C2223"/>
    <w:rsid w:val="3BDC22A4"/>
    <w:rsid w:val="3BE422BE"/>
    <w:rsid w:val="3D7A00C8"/>
    <w:rsid w:val="3DA05553"/>
    <w:rsid w:val="3E2706C1"/>
    <w:rsid w:val="3E78202C"/>
    <w:rsid w:val="40037339"/>
    <w:rsid w:val="40342A80"/>
    <w:rsid w:val="408A4171"/>
    <w:rsid w:val="416A0352"/>
    <w:rsid w:val="43617533"/>
    <w:rsid w:val="43C3641A"/>
    <w:rsid w:val="448F6DEF"/>
    <w:rsid w:val="44BC7116"/>
    <w:rsid w:val="45A32084"/>
    <w:rsid w:val="47331E95"/>
    <w:rsid w:val="48C72DFA"/>
    <w:rsid w:val="49496315"/>
    <w:rsid w:val="4ACC1B85"/>
    <w:rsid w:val="4AEE1D3A"/>
    <w:rsid w:val="4BE26C75"/>
    <w:rsid w:val="4D05774E"/>
    <w:rsid w:val="4DCC0705"/>
    <w:rsid w:val="4E2409AA"/>
    <w:rsid w:val="4E8C7B5A"/>
    <w:rsid w:val="4FBD4D11"/>
    <w:rsid w:val="503675E5"/>
    <w:rsid w:val="509755BF"/>
    <w:rsid w:val="50F47949"/>
    <w:rsid w:val="54016032"/>
    <w:rsid w:val="54776BB6"/>
    <w:rsid w:val="54AD19C6"/>
    <w:rsid w:val="559C458F"/>
    <w:rsid w:val="562D2572"/>
    <w:rsid w:val="56343CD6"/>
    <w:rsid w:val="564608D8"/>
    <w:rsid w:val="56F43FA4"/>
    <w:rsid w:val="57284092"/>
    <w:rsid w:val="585F62DF"/>
    <w:rsid w:val="59B94D26"/>
    <w:rsid w:val="5B6E1C58"/>
    <w:rsid w:val="5C0E1DBE"/>
    <w:rsid w:val="5F473629"/>
    <w:rsid w:val="5FE17998"/>
    <w:rsid w:val="60CE37DF"/>
    <w:rsid w:val="60D61108"/>
    <w:rsid w:val="61453892"/>
    <w:rsid w:val="61702A41"/>
    <w:rsid w:val="61CE64CC"/>
    <w:rsid w:val="6292105F"/>
    <w:rsid w:val="63FE4BFE"/>
    <w:rsid w:val="64FD6C64"/>
    <w:rsid w:val="65075D34"/>
    <w:rsid w:val="65566374"/>
    <w:rsid w:val="663D3590"/>
    <w:rsid w:val="673F0923"/>
    <w:rsid w:val="68053A44"/>
    <w:rsid w:val="685C0145"/>
    <w:rsid w:val="6A2B75A8"/>
    <w:rsid w:val="6ADC45E0"/>
    <w:rsid w:val="6B785296"/>
    <w:rsid w:val="6C360CAD"/>
    <w:rsid w:val="6C896FF2"/>
    <w:rsid w:val="6CF773C4"/>
    <w:rsid w:val="6DE22E9A"/>
    <w:rsid w:val="6DF61C59"/>
    <w:rsid w:val="716B31A7"/>
    <w:rsid w:val="72262B68"/>
    <w:rsid w:val="72993273"/>
    <w:rsid w:val="73661E78"/>
    <w:rsid w:val="751A5D78"/>
    <w:rsid w:val="753D2E2F"/>
    <w:rsid w:val="75843DFE"/>
    <w:rsid w:val="769132CC"/>
    <w:rsid w:val="78454752"/>
    <w:rsid w:val="78BF62AD"/>
    <w:rsid w:val="78DE6954"/>
    <w:rsid w:val="79182E38"/>
    <w:rsid w:val="79830A68"/>
    <w:rsid w:val="7AB75AFB"/>
    <w:rsid w:val="7B8B2D7D"/>
    <w:rsid w:val="7C993579"/>
    <w:rsid w:val="7D624406"/>
    <w:rsid w:val="7D9B0CD0"/>
    <w:rsid w:val="7DBB1A28"/>
    <w:rsid w:val="7DE14F1D"/>
    <w:rsid w:val="7F363969"/>
    <w:rsid w:val="7F48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纯文本 Char1"/>
    <w:link w:val="15"/>
    <w:autoRedefine/>
    <w:qFormat/>
    <w:uiPriority w:val="0"/>
    <w:rPr>
      <w:rFonts w:ascii="宋体" w:hAnsi="Courier New" w:cs="Courier New"/>
      <w:szCs w:val="21"/>
    </w:rPr>
  </w:style>
  <w:style w:type="paragraph" w:customStyle="1" w:styleId="15">
    <w:name w:val="Plain Text"/>
    <w:basedOn w:val="1"/>
    <w:link w:val="14"/>
    <w:autoRedefine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6">
    <w:name w:val="页脚 Char"/>
    <w:link w:val="6"/>
    <w:autoRedefine/>
    <w:qFormat/>
    <w:uiPriority w:val="99"/>
    <w:rPr>
      <w:kern w:val="2"/>
      <w:sz w:val="18"/>
      <w:szCs w:val="18"/>
    </w:rPr>
  </w:style>
  <w:style w:type="paragraph" w:customStyle="1" w:styleId="17">
    <w:name w:val="Char Char Char"/>
    <w:basedOn w:val="1"/>
    <w:autoRedefine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18">
    <w:name w:val=" Char Char Char1 Char"/>
    <w:basedOn w:val="1"/>
    <w:autoRedefine/>
    <w:qFormat/>
    <w:uiPriority w:val="0"/>
    <w:pPr>
      <w:numPr>
        <w:ilvl w:val="0"/>
        <w:numId w:val="2"/>
      </w:numPr>
    </w:pPr>
    <w:rPr>
      <w:sz w:val="24"/>
    </w:rPr>
  </w:style>
  <w:style w:type="paragraph" w:customStyle="1" w:styleId="19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0">
    <w:name w:val="Char Char Char Char Char Char Char"/>
    <w:basedOn w:val="1"/>
    <w:qFormat/>
    <w:uiPriority w:val="0"/>
    <w:rPr>
      <w:szCs w:val="21"/>
    </w:rPr>
  </w:style>
  <w:style w:type="paragraph" w:customStyle="1" w:styleId="21">
    <w:name w:val=" Char Char Char"/>
    <w:basedOn w:val="1"/>
    <w:qFormat/>
    <w:uiPriority w:val="0"/>
    <w:pPr>
      <w:numPr>
        <w:ilvl w:val="0"/>
        <w:numId w:val="2"/>
      </w:numPr>
    </w:pPr>
    <w:rPr>
      <w:sz w:val="24"/>
    </w:rPr>
  </w:style>
  <w:style w:type="paragraph" w:customStyle="1" w:styleId="22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Char Char Char Char Char Char Char Char Char Char Char Char Char Char Char Char"/>
    <w:basedOn w:val="1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10</Pages>
  <Words>584</Words>
  <Characters>3329</Characters>
  <Lines>27</Lines>
  <Paragraphs>7</Paragraphs>
  <TotalTime>4</TotalTime>
  <ScaleCrop>false</ScaleCrop>
  <LinksUpToDate>false</LinksUpToDate>
  <CharactersWithSpaces>3906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2019-02-13T03:32:00Z</dcterms:created>
  <dc:creator>Lenovo User</dc:creator>
  <cp:lastModifiedBy>Administrator</cp:lastModifiedBy>
  <cp:lastPrinted>2020-01-21T07:00:00Z</cp:lastPrinted>
  <dcterms:modified xsi:type="dcterms:W3CDTF">2025-02-07T02:29:36Z</dcterms:modified>
  <dc:title>内蒙古自治区XX厅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88478A3E0D2147BFB9D35B71561BF5E1_13</vt:lpwstr>
  </property>
</Properties>
</file>